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C075D" w14:textId="10638A2C" w:rsidR="00DD4544" w:rsidRPr="006C059C" w:rsidRDefault="006C059C" w:rsidP="00DD4544">
      <w:pPr>
        <w:rPr>
          <w:rFonts w:ascii="Century Gothic" w:hAnsi="Century Gothic"/>
        </w:rPr>
      </w:pPr>
      <w:r>
        <w:rPr>
          <w:rFonts w:ascii="Century Gothic" w:hAnsi="Century Gothic"/>
          <w:noProof/>
        </w:rPr>
        <w:drawing>
          <wp:anchor distT="0" distB="0" distL="114300" distR="114300" simplePos="0" relativeHeight="251658240" behindDoc="1" locked="0" layoutInCell="1" allowOverlap="1" wp14:anchorId="3099CCC0" wp14:editId="7D3D6E48">
            <wp:simplePos x="0" y="0"/>
            <wp:positionH relativeFrom="column">
              <wp:posOffset>3264888</wp:posOffset>
            </wp:positionH>
            <wp:positionV relativeFrom="paragraph">
              <wp:posOffset>-721995</wp:posOffset>
            </wp:positionV>
            <wp:extent cx="3428143" cy="11176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PCS-logo-small.jpg"/>
                    <pic:cNvPicPr/>
                  </pic:nvPicPr>
                  <pic:blipFill>
                    <a:blip r:embed="rId7">
                      <a:extLst>
                        <a:ext uri="{28A0092B-C50C-407E-A947-70E740481C1C}">
                          <a14:useLocalDpi xmlns:a14="http://schemas.microsoft.com/office/drawing/2010/main" val="0"/>
                        </a:ext>
                      </a:extLst>
                    </a:blip>
                    <a:stretch>
                      <a:fillRect/>
                    </a:stretch>
                  </pic:blipFill>
                  <pic:spPr>
                    <a:xfrm>
                      <a:off x="0" y="0"/>
                      <a:ext cx="3428143" cy="1117600"/>
                    </a:xfrm>
                    <a:prstGeom prst="rect">
                      <a:avLst/>
                    </a:prstGeom>
                  </pic:spPr>
                </pic:pic>
              </a:graphicData>
            </a:graphic>
            <wp14:sizeRelH relativeFrom="page">
              <wp14:pctWidth>0</wp14:pctWidth>
            </wp14:sizeRelH>
            <wp14:sizeRelV relativeFrom="page">
              <wp14:pctHeight>0</wp14:pctHeight>
            </wp14:sizeRelV>
          </wp:anchor>
        </w:drawing>
      </w:r>
    </w:p>
    <w:p w14:paraId="6F3CD9DE" w14:textId="644D9BEC" w:rsidR="00DD4544" w:rsidRPr="006C059C" w:rsidRDefault="0012602C" w:rsidP="00DD4544">
      <w:pPr>
        <w:rPr>
          <w:rFonts w:ascii="Century Gothic" w:hAnsi="Century Gothic"/>
        </w:rPr>
      </w:pPr>
      <w:r w:rsidRPr="006C059C">
        <w:rPr>
          <w:rFonts w:ascii="Century Gothic" w:hAnsi="Century Gothic"/>
        </w:rPr>
        <w:t>February 1</w:t>
      </w:r>
      <w:r w:rsidR="00DD4544" w:rsidRPr="006C059C">
        <w:rPr>
          <w:rFonts w:ascii="Century Gothic" w:hAnsi="Century Gothic"/>
        </w:rPr>
        <w:t>, 2022</w:t>
      </w:r>
    </w:p>
    <w:p w14:paraId="7F07A04B" w14:textId="7E8B6632" w:rsidR="00DD4544" w:rsidRPr="006C059C" w:rsidRDefault="00DD4544" w:rsidP="00DD4544">
      <w:pPr>
        <w:rPr>
          <w:rFonts w:ascii="Century Gothic" w:hAnsi="Century Gothic"/>
        </w:rPr>
      </w:pPr>
    </w:p>
    <w:p w14:paraId="44DC8F97" w14:textId="2786C9F6" w:rsidR="00226F42" w:rsidRPr="006C059C" w:rsidRDefault="00226F42" w:rsidP="00DD4544">
      <w:pPr>
        <w:rPr>
          <w:rFonts w:ascii="Century Gothic" w:hAnsi="Century Gothic"/>
          <w:b/>
          <w:bCs/>
          <w:sz w:val="32"/>
          <w:szCs w:val="32"/>
        </w:rPr>
      </w:pPr>
      <w:r w:rsidRPr="006C059C">
        <w:rPr>
          <w:rFonts w:ascii="Century Gothic" w:hAnsi="Century Gothic"/>
          <w:b/>
          <w:bCs/>
          <w:sz w:val="32"/>
          <w:szCs w:val="32"/>
        </w:rPr>
        <w:t>Subject: Summary of SB 127,</w:t>
      </w:r>
      <w:r w:rsidR="0012602C" w:rsidRPr="006C059C">
        <w:rPr>
          <w:rFonts w:ascii="Century Gothic" w:hAnsi="Century Gothic"/>
          <w:b/>
          <w:bCs/>
          <w:sz w:val="32"/>
          <w:szCs w:val="32"/>
        </w:rPr>
        <w:t xml:space="preserve"> 1</w:t>
      </w:r>
      <w:r w:rsidR="0012602C" w:rsidRPr="006C059C">
        <w:rPr>
          <w:rFonts w:ascii="Century Gothic" w:hAnsi="Century Gothic"/>
          <w:b/>
          <w:bCs/>
          <w:sz w:val="32"/>
          <w:szCs w:val="32"/>
          <w:vertAlign w:val="superscript"/>
        </w:rPr>
        <w:t>st</w:t>
      </w:r>
      <w:r w:rsidR="0012602C" w:rsidRPr="006C059C">
        <w:rPr>
          <w:rFonts w:ascii="Century Gothic" w:hAnsi="Century Gothic"/>
          <w:b/>
          <w:bCs/>
          <w:sz w:val="32"/>
          <w:szCs w:val="32"/>
        </w:rPr>
        <w:t>. Sub</w:t>
      </w:r>
      <w:r w:rsidR="0012602C" w:rsidRPr="006C059C">
        <w:rPr>
          <w:rFonts w:ascii="Century Gothic" w:hAnsi="Century Gothic"/>
          <w:b/>
          <w:bCs/>
          <w:sz w:val="32"/>
          <w:szCs w:val="32"/>
        </w:rPr>
        <w:br/>
      </w:r>
      <w:r w:rsidRPr="006C059C">
        <w:rPr>
          <w:rFonts w:ascii="Century Gothic" w:hAnsi="Century Gothic"/>
          <w:b/>
          <w:bCs/>
          <w:sz w:val="32"/>
          <w:szCs w:val="32"/>
        </w:rPr>
        <w:t>Early literacy outcomes improvement</w:t>
      </w:r>
      <w:bookmarkStart w:id="0" w:name="_GoBack"/>
      <w:bookmarkEnd w:id="0"/>
    </w:p>
    <w:p w14:paraId="509BB1B8" w14:textId="77777777" w:rsidR="00226F42" w:rsidRPr="006C059C" w:rsidRDefault="00226F42" w:rsidP="00DD4544">
      <w:pPr>
        <w:rPr>
          <w:rFonts w:ascii="Century Gothic" w:hAnsi="Century Gothic"/>
        </w:rPr>
      </w:pPr>
    </w:p>
    <w:p w14:paraId="7638FDE4" w14:textId="20EA054C" w:rsidR="00DD4544" w:rsidRPr="006C059C" w:rsidRDefault="00DD4544" w:rsidP="00DD4544">
      <w:pPr>
        <w:rPr>
          <w:rFonts w:ascii="Century Gothic" w:hAnsi="Century Gothic"/>
        </w:rPr>
      </w:pPr>
      <w:r w:rsidRPr="006C059C">
        <w:rPr>
          <w:rFonts w:ascii="Century Gothic" w:hAnsi="Century Gothic"/>
        </w:rPr>
        <w:t>To whom it may concern:</w:t>
      </w:r>
    </w:p>
    <w:p w14:paraId="4CDA07DB" w14:textId="636C2ED4" w:rsidR="00DD4544" w:rsidRPr="006C059C" w:rsidRDefault="00DD4544" w:rsidP="00DD4544">
      <w:pPr>
        <w:rPr>
          <w:rFonts w:ascii="Century Gothic" w:hAnsi="Century Gothic"/>
        </w:rPr>
      </w:pPr>
    </w:p>
    <w:p w14:paraId="484D65CA" w14:textId="1DEF55AC" w:rsidR="00DD4544" w:rsidRPr="006C059C" w:rsidRDefault="00DD4544" w:rsidP="00DD4544">
      <w:pPr>
        <w:rPr>
          <w:rFonts w:ascii="Century Gothic" w:hAnsi="Century Gothic"/>
        </w:rPr>
      </w:pPr>
      <w:r w:rsidRPr="006C059C">
        <w:rPr>
          <w:rFonts w:ascii="Century Gothic" w:hAnsi="Century Gothic"/>
        </w:rPr>
        <w:t>SB 127</w:t>
      </w:r>
      <w:r w:rsidR="00C5050F" w:rsidRPr="006C059C">
        <w:rPr>
          <w:rFonts w:ascii="Century Gothic" w:hAnsi="Century Gothic"/>
        </w:rPr>
        <w:t>, 1</w:t>
      </w:r>
      <w:r w:rsidR="00C5050F" w:rsidRPr="006C059C">
        <w:rPr>
          <w:rFonts w:ascii="Century Gothic" w:hAnsi="Century Gothic"/>
          <w:vertAlign w:val="superscript"/>
        </w:rPr>
        <w:t>st</w:t>
      </w:r>
      <w:r w:rsidR="00C5050F" w:rsidRPr="006C059C">
        <w:rPr>
          <w:rFonts w:ascii="Century Gothic" w:hAnsi="Century Gothic"/>
        </w:rPr>
        <w:t xml:space="preserve"> Sub.</w:t>
      </w:r>
      <w:r w:rsidRPr="006C059C">
        <w:rPr>
          <w:rFonts w:ascii="Century Gothic" w:hAnsi="Century Gothic"/>
        </w:rPr>
        <w:t xml:space="preserve"> (Early literacy outcomes improvement) is Sen. Millner’s attempt at pushing Utah’s public schools to have 70% of students at grade level in literacy by the end of 3</w:t>
      </w:r>
      <w:r w:rsidRPr="006C059C">
        <w:rPr>
          <w:rFonts w:ascii="Century Gothic" w:hAnsi="Century Gothic"/>
          <w:vertAlign w:val="superscript"/>
        </w:rPr>
        <w:t>rd</w:t>
      </w:r>
      <w:r w:rsidRPr="006C059C">
        <w:rPr>
          <w:rFonts w:ascii="Century Gothic" w:hAnsi="Century Gothic"/>
        </w:rPr>
        <w:t xml:space="preserve"> grade. Her target date for achieving that 70% threshold is July 1, 2027. At present Utah schools stand at about </w:t>
      </w:r>
      <w:r w:rsidR="00C60DB2" w:rsidRPr="006C059C">
        <w:rPr>
          <w:rFonts w:ascii="Century Gothic" w:hAnsi="Century Gothic"/>
        </w:rPr>
        <w:t>44</w:t>
      </w:r>
      <w:r w:rsidRPr="006C059C">
        <w:rPr>
          <w:rFonts w:ascii="Century Gothic" w:hAnsi="Century Gothic"/>
        </w:rPr>
        <w:t>%, so this is an ambitious goal.</w:t>
      </w:r>
    </w:p>
    <w:p w14:paraId="2AFEB6C4" w14:textId="08B635ED" w:rsidR="00DD4544" w:rsidRPr="006C059C" w:rsidRDefault="00DD4544" w:rsidP="00DD4544">
      <w:pPr>
        <w:rPr>
          <w:rFonts w:ascii="Century Gothic" w:hAnsi="Century Gothic"/>
        </w:rPr>
      </w:pPr>
    </w:p>
    <w:p w14:paraId="137641AD" w14:textId="617315B6" w:rsidR="00226F42" w:rsidRPr="006C059C" w:rsidRDefault="00DD4544" w:rsidP="00DD4544">
      <w:pPr>
        <w:rPr>
          <w:rFonts w:ascii="Century Gothic" w:hAnsi="Century Gothic"/>
        </w:rPr>
      </w:pPr>
      <w:r w:rsidRPr="006C059C">
        <w:rPr>
          <w:rFonts w:ascii="Century Gothic" w:hAnsi="Century Gothic"/>
        </w:rPr>
        <w:t>The bill proposes several simultaneous efforts to achieve that goal. First, a statewide literacy panel</w:t>
      </w:r>
      <w:r w:rsidR="00226F42" w:rsidRPr="006C059C">
        <w:rPr>
          <w:rStyle w:val="FootnoteReference"/>
          <w:rFonts w:ascii="Century Gothic" w:hAnsi="Century Gothic"/>
        </w:rPr>
        <w:footnoteReference w:id="1"/>
      </w:r>
      <w:r w:rsidRPr="006C059C">
        <w:rPr>
          <w:rFonts w:ascii="Century Gothic" w:hAnsi="Century Gothic"/>
        </w:rPr>
        <w:t xml:space="preserve"> will be the research base </w:t>
      </w:r>
      <w:r w:rsidR="00226F42" w:rsidRPr="006C059C">
        <w:rPr>
          <w:rFonts w:ascii="Century Gothic" w:hAnsi="Century Gothic"/>
        </w:rPr>
        <w:t xml:space="preserve">LEAs and the State Board will turn to </w:t>
      </w:r>
      <w:r w:rsidRPr="006C059C">
        <w:rPr>
          <w:rFonts w:ascii="Century Gothic" w:hAnsi="Century Gothic"/>
        </w:rPr>
        <w:t>for effective learning modules, curricula and other teacher resources.</w:t>
      </w:r>
      <w:r w:rsidR="00226F42" w:rsidRPr="006C059C">
        <w:rPr>
          <w:rStyle w:val="FootnoteReference"/>
          <w:rFonts w:ascii="Century Gothic" w:hAnsi="Century Gothic"/>
        </w:rPr>
        <w:footnoteReference w:id="2"/>
      </w:r>
      <w:r w:rsidRPr="006C059C">
        <w:rPr>
          <w:rFonts w:ascii="Century Gothic" w:hAnsi="Century Gothic"/>
        </w:rPr>
        <w:t xml:space="preserve"> </w:t>
      </w:r>
      <w:r w:rsidR="00226F42" w:rsidRPr="006C059C">
        <w:rPr>
          <w:rFonts w:ascii="Century Gothic" w:hAnsi="Century Gothic"/>
        </w:rPr>
        <w:t xml:space="preserve">The </w:t>
      </w:r>
      <w:r w:rsidR="00C5050F" w:rsidRPr="006C059C">
        <w:rPr>
          <w:rFonts w:ascii="Century Gothic" w:hAnsi="Century Gothic"/>
        </w:rPr>
        <w:t>1</w:t>
      </w:r>
      <w:r w:rsidR="00C5050F" w:rsidRPr="006C059C">
        <w:rPr>
          <w:rFonts w:ascii="Century Gothic" w:hAnsi="Century Gothic"/>
          <w:vertAlign w:val="superscript"/>
        </w:rPr>
        <w:t>st</w:t>
      </w:r>
      <w:r w:rsidR="00C5050F" w:rsidRPr="006C059C">
        <w:rPr>
          <w:rFonts w:ascii="Century Gothic" w:hAnsi="Century Gothic"/>
        </w:rPr>
        <w:t xml:space="preserve"> Sub</w:t>
      </w:r>
      <w:r w:rsidR="00226F42" w:rsidRPr="006C059C">
        <w:rPr>
          <w:rFonts w:ascii="Century Gothic" w:hAnsi="Century Gothic"/>
        </w:rPr>
        <w:t xml:space="preserve"> </w:t>
      </w:r>
      <w:r w:rsidR="00C5050F" w:rsidRPr="006C059C">
        <w:rPr>
          <w:rFonts w:ascii="Century Gothic" w:hAnsi="Century Gothic"/>
        </w:rPr>
        <w:t>requires</w:t>
      </w:r>
      <w:r w:rsidR="00226F42" w:rsidRPr="006C059C">
        <w:rPr>
          <w:rFonts w:ascii="Century Gothic" w:hAnsi="Century Gothic"/>
        </w:rPr>
        <w:t xml:space="preserve"> LEAs to select early literacy curricula </w:t>
      </w:r>
      <w:r w:rsidR="008C036F" w:rsidRPr="006C059C">
        <w:rPr>
          <w:rFonts w:ascii="Century Gothic" w:hAnsi="Century Gothic"/>
        </w:rPr>
        <w:t>and intervention programs</w:t>
      </w:r>
      <w:r w:rsidR="008C036F" w:rsidRPr="006C059C">
        <w:rPr>
          <w:rStyle w:val="FootnoteReference"/>
          <w:rFonts w:ascii="Century Gothic" w:hAnsi="Century Gothic"/>
        </w:rPr>
        <w:footnoteReference w:id="3"/>
      </w:r>
      <w:r w:rsidR="008C036F" w:rsidRPr="006C059C">
        <w:rPr>
          <w:rFonts w:ascii="Century Gothic" w:hAnsi="Century Gothic"/>
        </w:rPr>
        <w:t xml:space="preserve"> </w:t>
      </w:r>
      <w:r w:rsidR="00C5050F" w:rsidRPr="006C059C">
        <w:rPr>
          <w:rFonts w:ascii="Century Gothic" w:hAnsi="Century Gothic"/>
        </w:rPr>
        <w:t xml:space="preserve">that </w:t>
      </w:r>
      <w:r w:rsidR="008C036F" w:rsidRPr="006C059C">
        <w:rPr>
          <w:rFonts w:ascii="Century Gothic" w:hAnsi="Century Gothic"/>
        </w:rPr>
        <w:t>are</w:t>
      </w:r>
      <w:r w:rsidR="00C5050F" w:rsidRPr="006C059C">
        <w:rPr>
          <w:rFonts w:ascii="Century Gothic" w:hAnsi="Century Gothic"/>
        </w:rPr>
        <w:t xml:space="preserve"> based around the science of reading, as advised by the statewide literacy panel</w:t>
      </w:r>
      <w:r w:rsidR="00226F42" w:rsidRPr="006C059C">
        <w:rPr>
          <w:rFonts w:ascii="Century Gothic" w:hAnsi="Century Gothic"/>
        </w:rPr>
        <w:t>.</w:t>
      </w:r>
      <w:r w:rsidR="00226F42" w:rsidRPr="006C059C">
        <w:rPr>
          <w:rStyle w:val="FootnoteReference"/>
          <w:rFonts w:ascii="Century Gothic" w:hAnsi="Century Gothic"/>
        </w:rPr>
        <w:footnoteReference w:id="4"/>
      </w:r>
    </w:p>
    <w:p w14:paraId="488F2CA2" w14:textId="77777777" w:rsidR="00226F42" w:rsidRPr="006C059C" w:rsidRDefault="00226F42" w:rsidP="00DD4544">
      <w:pPr>
        <w:rPr>
          <w:rFonts w:ascii="Century Gothic" w:hAnsi="Century Gothic"/>
        </w:rPr>
      </w:pPr>
    </w:p>
    <w:p w14:paraId="513F8BD4" w14:textId="462EFE9B" w:rsidR="00DD4544" w:rsidRPr="006C059C" w:rsidRDefault="00DD4544" w:rsidP="00DD4544">
      <w:pPr>
        <w:rPr>
          <w:rFonts w:ascii="Century Gothic" w:hAnsi="Century Gothic"/>
        </w:rPr>
      </w:pPr>
      <w:r w:rsidRPr="006C059C">
        <w:rPr>
          <w:rFonts w:ascii="Century Gothic" w:hAnsi="Century Gothic"/>
        </w:rPr>
        <w:t>Second, all elementary school teachers and principals</w:t>
      </w:r>
      <w:r w:rsidR="00226F42" w:rsidRPr="006C059C">
        <w:rPr>
          <w:rStyle w:val="FootnoteReference"/>
          <w:rFonts w:ascii="Century Gothic" w:hAnsi="Century Gothic"/>
        </w:rPr>
        <w:footnoteReference w:id="5"/>
      </w:r>
      <w:r w:rsidRPr="006C059C">
        <w:rPr>
          <w:rFonts w:ascii="Century Gothic" w:hAnsi="Century Gothic"/>
        </w:rPr>
        <w:t xml:space="preserve"> must take a science of reading course,</w:t>
      </w:r>
      <w:r w:rsidR="00226F42" w:rsidRPr="006C059C">
        <w:rPr>
          <w:rStyle w:val="FootnoteReference"/>
          <w:rFonts w:ascii="Century Gothic" w:hAnsi="Century Gothic"/>
        </w:rPr>
        <w:footnoteReference w:id="6"/>
      </w:r>
      <w:r w:rsidRPr="006C059C">
        <w:rPr>
          <w:rFonts w:ascii="Century Gothic" w:hAnsi="Century Gothic"/>
        </w:rPr>
        <w:t xml:space="preserve"> and pass a literacy </w:t>
      </w:r>
      <w:r w:rsidR="00226F42" w:rsidRPr="006C059C">
        <w:rPr>
          <w:rFonts w:ascii="Century Gothic" w:hAnsi="Century Gothic"/>
        </w:rPr>
        <w:t xml:space="preserve">preparation </w:t>
      </w:r>
      <w:r w:rsidRPr="006C059C">
        <w:rPr>
          <w:rFonts w:ascii="Century Gothic" w:hAnsi="Century Gothic"/>
        </w:rPr>
        <w:t>assessment.</w:t>
      </w:r>
      <w:r w:rsidR="00226F42" w:rsidRPr="006C059C">
        <w:rPr>
          <w:rStyle w:val="FootnoteReference"/>
          <w:rFonts w:ascii="Century Gothic" w:hAnsi="Century Gothic"/>
        </w:rPr>
        <w:footnoteReference w:id="7"/>
      </w:r>
      <w:r w:rsidRPr="006C059C">
        <w:rPr>
          <w:rFonts w:ascii="Century Gothic" w:hAnsi="Century Gothic"/>
        </w:rPr>
        <w:t xml:space="preserve"> The science of reading </w:t>
      </w:r>
      <w:r w:rsidRPr="006C059C">
        <w:rPr>
          <w:rFonts w:ascii="Century Gothic" w:hAnsi="Century Gothic"/>
        </w:rPr>
        <w:lastRenderedPageBreak/>
        <w:t>course is almost certain to be LETRS,</w:t>
      </w:r>
      <w:r w:rsidR="00226F42" w:rsidRPr="006C059C">
        <w:rPr>
          <w:rStyle w:val="FootnoteReference"/>
          <w:rFonts w:ascii="Century Gothic" w:hAnsi="Century Gothic"/>
        </w:rPr>
        <w:footnoteReference w:id="8"/>
      </w:r>
      <w:r w:rsidRPr="006C059C">
        <w:rPr>
          <w:rFonts w:ascii="Century Gothic" w:hAnsi="Century Gothic"/>
        </w:rPr>
        <w:t xml:space="preserve"> and teachers will have the option of demonstrating competency instead of taking the assessment.</w:t>
      </w:r>
    </w:p>
    <w:p w14:paraId="608FD839" w14:textId="0966E218" w:rsidR="00DD4544" w:rsidRPr="006C059C" w:rsidRDefault="00DD4544" w:rsidP="00DD4544">
      <w:pPr>
        <w:rPr>
          <w:rFonts w:ascii="Century Gothic" w:hAnsi="Century Gothic"/>
        </w:rPr>
      </w:pPr>
    </w:p>
    <w:p w14:paraId="4AFC6EF6" w14:textId="1933F508" w:rsidR="00DD4544" w:rsidRPr="006C059C" w:rsidRDefault="00DD4544" w:rsidP="00DD4544">
      <w:pPr>
        <w:rPr>
          <w:rFonts w:ascii="Century Gothic" w:hAnsi="Century Gothic"/>
        </w:rPr>
      </w:pPr>
      <w:r w:rsidRPr="006C059C">
        <w:rPr>
          <w:rFonts w:ascii="Century Gothic" w:hAnsi="Century Gothic"/>
        </w:rPr>
        <w:t xml:space="preserve">Third, the State Board will provide trained literacy coaches to schools with low literacy rates. </w:t>
      </w:r>
      <w:r w:rsidR="00226F42" w:rsidRPr="006C059C">
        <w:rPr>
          <w:rFonts w:ascii="Century Gothic" w:hAnsi="Century Gothic"/>
        </w:rPr>
        <w:t>These literacy coaches will coach teachers in grades K-3.</w:t>
      </w:r>
      <w:r w:rsidR="00226F42" w:rsidRPr="006C059C">
        <w:rPr>
          <w:rStyle w:val="FootnoteReference"/>
          <w:rFonts w:ascii="Century Gothic" w:hAnsi="Century Gothic"/>
        </w:rPr>
        <w:footnoteReference w:id="9"/>
      </w:r>
      <w:r w:rsidR="00226F42" w:rsidRPr="006C059C">
        <w:rPr>
          <w:rFonts w:ascii="Century Gothic" w:hAnsi="Century Gothic"/>
        </w:rPr>
        <w:t xml:space="preserve"> </w:t>
      </w:r>
      <w:r w:rsidRPr="006C059C">
        <w:rPr>
          <w:rFonts w:ascii="Century Gothic" w:hAnsi="Century Gothic"/>
        </w:rPr>
        <w:t xml:space="preserve">At a minimum, </w:t>
      </w:r>
      <w:r w:rsidR="00226F42" w:rsidRPr="006C059C">
        <w:rPr>
          <w:rFonts w:ascii="Century Gothic" w:hAnsi="Century Gothic"/>
        </w:rPr>
        <w:t xml:space="preserve">schools with </w:t>
      </w:r>
      <w:r w:rsidRPr="006C059C">
        <w:rPr>
          <w:rFonts w:ascii="Century Gothic" w:hAnsi="Century Gothic"/>
        </w:rPr>
        <w:t>low literacy rates include schools in the bottom ¼ o</w:t>
      </w:r>
      <w:r w:rsidR="00226F42" w:rsidRPr="006C059C">
        <w:rPr>
          <w:rFonts w:ascii="Century Gothic" w:hAnsi="Century Gothic"/>
        </w:rPr>
        <w:t>f schools in literacy performance (as defined by the State Board) and schools participating in the Partnerships for Student Success Grant Program</w:t>
      </w:r>
      <w:r w:rsidR="008C036F" w:rsidRPr="006C059C">
        <w:rPr>
          <w:rFonts w:ascii="Century Gothic" w:hAnsi="Century Gothic"/>
        </w:rPr>
        <w:t xml:space="preserve"> (PSSGP)</w:t>
      </w:r>
      <w:r w:rsidR="00226F42" w:rsidRPr="006C059C">
        <w:rPr>
          <w:rFonts w:ascii="Century Gothic" w:hAnsi="Century Gothic"/>
        </w:rPr>
        <w:t>.</w:t>
      </w:r>
      <w:r w:rsidR="00226F42" w:rsidRPr="006C059C">
        <w:rPr>
          <w:rStyle w:val="FootnoteReference"/>
          <w:rFonts w:ascii="Century Gothic" w:hAnsi="Century Gothic"/>
        </w:rPr>
        <w:footnoteReference w:id="10"/>
      </w:r>
      <w:r w:rsidR="00226F42" w:rsidRPr="006C059C">
        <w:rPr>
          <w:rFonts w:ascii="Century Gothic" w:hAnsi="Century Gothic"/>
        </w:rPr>
        <w:t xml:space="preserve"> Fourth, regional professional learning consultants will support the efforts of LEAs and RESAs in designing research-informed/-based professional learning </w:t>
      </w:r>
      <w:r w:rsidR="00C60DB2" w:rsidRPr="006C059C">
        <w:rPr>
          <w:rFonts w:ascii="Century Gothic" w:hAnsi="Century Gothic"/>
        </w:rPr>
        <w:t xml:space="preserve">that meet existing </w:t>
      </w:r>
      <w:r w:rsidR="00226F42" w:rsidRPr="006C059C">
        <w:rPr>
          <w:rFonts w:ascii="Century Gothic" w:hAnsi="Century Gothic"/>
        </w:rPr>
        <w:t>standards.</w:t>
      </w:r>
    </w:p>
    <w:p w14:paraId="7B84993E" w14:textId="289FEE32" w:rsidR="00226F42" w:rsidRPr="006C059C" w:rsidRDefault="00226F42" w:rsidP="00DD4544">
      <w:pPr>
        <w:rPr>
          <w:rFonts w:ascii="Century Gothic" w:hAnsi="Century Gothic"/>
        </w:rPr>
      </w:pPr>
    </w:p>
    <w:p w14:paraId="1A81BBF3" w14:textId="61CA9182" w:rsidR="00226F42" w:rsidRPr="006C059C" w:rsidRDefault="00226F42" w:rsidP="00DD4544">
      <w:pPr>
        <w:rPr>
          <w:rFonts w:ascii="Century Gothic" w:hAnsi="Century Gothic"/>
        </w:rPr>
      </w:pPr>
      <w:r w:rsidRPr="006C059C">
        <w:rPr>
          <w:rFonts w:ascii="Century Gothic" w:hAnsi="Century Gothic"/>
        </w:rPr>
        <w:t xml:space="preserve">The bill also requires the State Board to “partner” with a private business or </w:t>
      </w:r>
      <w:proofErr w:type="spellStart"/>
      <w:r w:rsidRPr="006C059C">
        <w:rPr>
          <w:rFonts w:ascii="Century Gothic" w:hAnsi="Century Gothic"/>
        </w:rPr>
        <w:t>non profit</w:t>
      </w:r>
      <w:proofErr w:type="spellEnd"/>
      <w:r w:rsidRPr="006C059C">
        <w:rPr>
          <w:rFonts w:ascii="Century Gothic" w:hAnsi="Century Gothic"/>
        </w:rPr>
        <w:t xml:space="preserve"> that will “annually provide personal, home-use, age-appropriate printed books or digital books with accompanying reading devices to K-3 students who attend a Title 1 school or a school in the PSSGP. The State Board will also “contract” with one or more organizations with expertise organizing community resources to train and coach parent engagement coordinators.</w:t>
      </w:r>
      <w:r w:rsidRPr="006C059C">
        <w:rPr>
          <w:rStyle w:val="FootnoteReference"/>
          <w:rFonts w:ascii="Century Gothic" w:hAnsi="Century Gothic"/>
        </w:rPr>
        <w:footnoteReference w:id="11"/>
      </w:r>
    </w:p>
    <w:p w14:paraId="060C0D32" w14:textId="5B5BC45A" w:rsidR="00DD4544" w:rsidRPr="006C059C" w:rsidRDefault="00DD4544" w:rsidP="00DD4544">
      <w:pPr>
        <w:rPr>
          <w:rFonts w:ascii="Century Gothic" w:hAnsi="Century Gothic"/>
        </w:rPr>
      </w:pPr>
    </w:p>
    <w:p w14:paraId="09B646F8" w14:textId="791F2DD0" w:rsidR="00821A9E" w:rsidRPr="006C059C" w:rsidRDefault="00226F42">
      <w:pPr>
        <w:rPr>
          <w:rFonts w:ascii="Century Gothic" w:hAnsi="Century Gothic"/>
        </w:rPr>
      </w:pPr>
      <w:r w:rsidRPr="006C059C">
        <w:rPr>
          <w:rFonts w:ascii="Century Gothic" w:hAnsi="Century Gothic"/>
        </w:rPr>
        <w:t>To accomplish these elements, the State Board will administer several grant programs. One grant program will guarantee that licensees do not have to pay for the first taking of the literacy preparation assessment.</w:t>
      </w:r>
      <w:r w:rsidRPr="006C059C">
        <w:rPr>
          <w:rStyle w:val="FootnoteReference"/>
          <w:rFonts w:ascii="Century Gothic" w:hAnsi="Century Gothic"/>
        </w:rPr>
        <w:footnoteReference w:id="12"/>
      </w:r>
      <w:r w:rsidRPr="006C059C">
        <w:rPr>
          <w:rFonts w:ascii="Century Gothic" w:hAnsi="Century Gothic"/>
        </w:rPr>
        <w:t xml:space="preserve"> Another grant program will pay the costs for an LEA to provide the literacy preparation program (LETRS).</w:t>
      </w:r>
      <w:r w:rsidRPr="006C059C">
        <w:rPr>
          <w:rStyle w:val="FootnoteReference"/>
          <w:rFonts w:ascii="Century Gothic" w:hAnsi="Century Gothic"/>
        </w:rPr>
        <w:footnoteReference w:id="13"/>
      </w:r>
    </w:p>
    <w:p w14:paraId="3C2D86F0" w14:textId="399E8120" w:rsidR="00226F42" w:rsidRPr="006C059C" w:rsidRDefault="00226F42">
      <w:pPr>
        <w:rPr>
          <w:rFonts w:ascii="Century Gothic" w:hAnsi="Century Gothic"/>
        </w:rPr>
      </w:pPr>
    </w:p>
    <w:p w14:paraId="10CC7D99" w14:textId="1B78F674" w:rsidR="00226F42" w:rsidRPr="006C059C" w:rsidRDefault="00226F42">
      <w:pPr>
        <w:rPr>
          <w:rFonts w:ascii="Century Gothic" w:hAnsi="Century Gothic"/>
        </w:rPr>
      </w:pPr>
      <w:r w:rsidRPr="006C059C">
        <w:rPr>
          <w:rFonts w:ascii="Century Gothic" w:hAnsi="Century Gothic"/>
        </w:rPr>
        <w:t>The bill also has provisions more directly related to higher education. Because they are not my clients, I have not summarized those portions.</w:t>
      </w:r>
    </w:p>
    <w:sectPr w:rsidR="00226F42" w:rsidRPr="006C059C" w:rsidSect="006C059C">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00380" w14:textId="77777777" w:rsidR="008A1C78" w:rsidRDefault="008A1C78" w:rsidP="00226F42">
      <w:r>
        <w:separator/>
      </w:r>
    </w:p>
  </w:endnote>
  <w:endnote w:type="continuationSeparator" w:id="0">
    <w:p w14:paraId="76C27568" w14:textId="77777777" w:rsidR="008A1C78" w:rsidRDefault="008A1C78" w:rsidP="0022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633DE" w14:textId="77777777" w:rsidR="008A1C78" w:rsidRDefault="008A1C78" w:rsidP="00226F42">
      <w:r>
        <w:separator/>
      </w:r>
    </w:p>
  </w:footnote>
  <w:footnote w:type="continuationSeparator" w:id="0">
    <w:p w14:paraId="1A98BB3D" w14:textId="77777777" w:rsidR="008A1C78" w:rsidRDefault="008A1C78" w:rsidP="00226F42">
      <w:r>
        <w:continuationSeparator/>
      </w:r>
    </w:p>
  </w:footnote>
  <w:footnote w:id="1">
    <w:p w14:paraId="76BFB82F" w14:textId="629965C1" w:rsidR="00226F42" w:rsidRPr="006C059C" w:rsidRDefault="00226F42">
      <w:pPr>
        <w:pStyle w:val="FootnoteText"/>
        <w:rPr>
          <w:rFonts w:ascii="Century Gothic" w:hAnsi="Century Gothic"/>
        </w:rPr>
      </w:pPr>
      <w:r w:rsidRPr="006C059C">
        <w:rPr>
          <w:rStyle w:val="FootnoteReference"/>
          <w:rFonts w:ascii="Century Gothic" w:hAnsi="Century Gothic"/>
        </w:rPr>
        <w:footnoteRef/>
      </w:r>
      <w:r w:rsidRPr="006C059C">
        <w:rPr>
          <w:rFonts w:ascii="Century Gothic" w:hAnsi="Century Gothic"/>
        </w:rPr>
        <w:t xml:space="preserve"> The panel may have up to 6 members, and may include legislators. There is good reason to believe professors from Utah State’s Department of Education will form the core of this panel.</w:t>
      </w:r>
    </w:p>
  </w:footnote>
  <w:footnote w:id="2">
    <w:p w14:paraId="189D80F1" w14:textId="7F224FA0" w:rsidR="00226F42" w:rsidRPr="006C059C" w:rsidRDefault="00226F42">
      <w:pPr>
        <w:pStyle w:val="FootnoteText"/>
        <w:rPr>
          <w:rFonts w:ascii="Century Gothic" w:hAnsi="Century Gothic"/>
        </w:rPr>
      </w:pPr>
      <w:r w:rsidRPr="006C059C">
        <w:rPr>
          <w:rStyle w:val="FootnoteReference"/>
          <w:rFonts w:ascii="Century Gothic" w:hAnsi="Century Gothic"/>
        </w:rPr>
        <w:footnoteRef/>
      </w:r>
      <w:r w:rsidRPr="006C059C">
        <w:rPr>
          <w:rFonts w:ascii="Century Gothic" w:hAnsi="Century Gothic"/>
        </w:rPr>
        <w:t xml:space="preserve"> In many ways, this bill is designed to guarantee that LEAs implement practices based around the science of reading and instruction in the science of reading. The members of this panel must already be experts in the science of reading, so the research base will reflect that.</w:t>
      </w:r>
    </w:p>
  </w:footnote>
  <w:footnote w:id="3">
    <w:p w14:paraId="1714E1B4" w14:textId="0B37CCE6" w:rsidR="008C036F" w:rsidRPr="006C059C" w:rsidRDefault="008C036F">
      <w:pPr>
        <w:pStyle w:val="FootnoteText"/>
        <w:rPr>
          <w:rFonts w:ascii="Century Gothic" w:hAnsi="Century Gothic"/>
        </w:rPr>
      </w:pPr>
      <w:r w:rsidRPr="006C059C">
        <w:rPr>
          <w:rStyle w:val="FootnoteReference"/>
          <w:rFonts w:ascii="Century Gothic" w:hAnsi="Century Gothic"/>
        </w:rPr>
        <w:footnoteRef/>
      </w:r>
      <w:r w:rsidRPr="006C059C">
        <w:rPr>
          <w:rFonts w:ascii="Century Gothic" w:hAnsi="Century Gothic"/>
        </w:rPr>
        <w:t xml:space="preserve"> It is not clear what these intervention programs might be.</w:t>
      </w:r>
    </w:p>
  </w:footnote>
  <w:footnote w:id="4">
    <w:p w14:paraId="0529493E" w14:textId="328214F4" w:rsidR="00226F42" w:rsidRPr="006C059C" w:rsidRDefault="00226F42">
      <w:pPr>
        <w:pStyle w:val="FootnoteText"/>
        <w:rPr>
          <w:rFonts w:ascii="Century Gothic" w:hAnsi="Century Gothic"/>
        </w:rPr>
      </w:pPr>
      <w:r w:rsidRPr="006C059C">
        <w:rPr>
          <w:rStyle w:val="FootnoteReference"/>
          <w:rFonts w:ascii="Century Gothic" w:hAnsi="Century Gothic"/>
        </w:rPr>
        <w:footnoteRef/>
      </w:r>
      <w:r w:rsidRPr="006C059C">
        <w:rPr>
          <w:rFonts w:ascii="Century Gothic" w:hAnsi="Century Gothic"/>
        </w:rPr>
        <w:t xml:space="preserve"> </w:t>
      </w:r>
      <w:r w:rsidR="00C5050F" w:rsidRPr="006C059C">
        <w:rPr>
          <w:rFonts w:ascii="Century Gothic" w:hAnsi="Century Gothic"/>
        </w:rPr>
        <w:t>The term “as advised” is designed to leave open the possibility that LEAs may find an appropriate curriculum that the literacy panel had not previously evaluated. In other words, the panel is not supposed to usurp the LEA board’s authority over the LEA’s curriculum.</w:t>
      </w:r>
    </w:p>
  </w:footnote>
  <w:footnote w:id="5">
    <w:p w14:paraId="3970F805" w14:textId="4A182DF7" w:rsidR="00226F42" w:rsidRPr="006C059C" w:rsidRDefault="00226F42">
      <w:pPr>
        <w:pStyle w:val="FootnoteText"/>
        <w:rPr>
          <w:rFonts w:ascii="Century Gothic" w:hAnsi="Century Gothic"/>
        </w:rPr>
      </w:pPr>
      <w:r w:rsidRPr="006C059C">
        <w:rPr>
          <w:rStyle w:val="FootnoteReference"/>
          <w:rFonts w:ascii="Century Gothic" w:hAnsi="Century Gothic"/>
        </w:rPr>
        <w:footnoteRef/>
      </w:r>
      <w:r w:rsidRPr="006C059C">
        <w:rPr>
          <w:rFonts w:ascii="Century Gothic" w:hAnsi="Century Gothic"/>
        </w:rPr>
        <w:t xml:space="preserve"> This list includes special education teachers who do not exclusively serve students with significant cognitive disabilities, LEA administrators over literacy, school psychologists working in an elementary school, an elementary school literacy coach who serves K-3, and current or prospective elementary school principals. All of these people must take this literacy preparation course by July 1, 2025. Teachers within 1 year of retirement and dual language educators (in the target language) also do not need to take the course.</w:t>
      </w:r>
    </w:p>
  </w:footnote>
  <w:footnote w:id="6">
    <w:p w14:paraId="13784A2D" w14:textId="3C5FBF66" w:rsidR="00226F42" w:rsidRPr="006C059C" w:rsidRDefault="00226F42">
      <w:pPr>
        <w:pStyle w:val="FootnoteText"/>
        <w:rPr>
          <w:rFonts w:ascii="Century Gothic" w:hAnsi="Century Gothic"/>
        </w:rPr>
      </w:pPr>
      <w:r w:rsidRPr="006C059C">
        <w:rPr>
          <w:rStyle w:val="FootnoteReference"/>
          <w:rFonts w:ascii="Century Gothic" w:hAnsi="Century Gothic"/>
        </w:rPr>
        <w:footnoteRef/>
      </w:r>
      <w:r w:rsidRPr="006C059C">
        <w:rPr>
          <w:rFonts w:ascii="Century Gothic" w:hAnsi="Century Gothic"/>
        </w:rPr>
        <w:t xml:space="preserve"> If someone on the list has already taken the early literacy program (i.e., LETRS), that person does not need to take it again.</w:t>
      </w:r>
      <w:r w:rsidR="00F903FA" w:rsidRPr="006C059C">
        <w:rPr>
          <w:rFonts w:ascii="Century Gothic" w:hAnsi="Century Gothic"/>
        </w:rPr>
        <w:t xml:space="preserve"> In addition, all license applicants – whether they come through university or Appel preparation programs</w:t>
      </w:r>
      <w:r w:rsidR="00C5050F" w:rsidRPr="006C059C">
        <w:rPr>
          <w:rFonts w:ascii="Century Gothic" w:hAnsi="Century Gothic"/>
        </w:rPr>
        <w:t xml:space="preserve"> – </w:t>
      </w:r>
      <w:r w:rsidR="00F903FA" w:rsidRPr="006C059C">
        <w:rPr>
          <w:rFonts w:ascii="Century Gothic" w:hAnsi="Century Gothic"/>
        </w:rPr>
        <w:t>must receive instruction in the science of reading.</w:t>
      </w:r>
    </w:p>
  </w:footnote>
  <w:footnote w:id="7">
    <w:p w14:paraId="554FAE9E" w14:textId="32EBCF35" w:rsidR="00226F42" w:rsidRDefault="00226F42">
      <w:pPr>
        <w:pStyle w:val="FootnoteText"/>
      </w:pPr>
      <w:r w:rsidRPr="006C059C">
        <w:rPr>
          <w:rStyle w:val="FootnoteReference"/>
          <w:rFonts w:ascii="Century Gothic" w:hAnsi="Century Gothic"/>
        </w:rPr>
        <w:footnoteRef/>
      </w:r>
      <w:r w:rsidRPr="006C059C">
        <w:rPr>
          <w:rFonts w:ascii="Century Gothic" w:hAnsi="Century Gothic"/>
        </w:rPr>
        <w:t xml:space="preserve"> </w:t>
      </w:r>
      <w:r w:rsidR="00C5050F" w:rsidRPr="006C059C">
        <w:rPr>
          <w:rFonts w:ascii="Century Gothic" w:hAnsi="Century Gothic"/>
        </w:rPr>
        <w:t>The 1</w:t>
      </w:r>
      <w:r w:rsidR="00C5050F" w:rsidRPr="006C059C">
        <w:rPr>
          <w:rFonts w:ascii="Century Gothic" w:hAnsi="Century Gothic"/>
          <w:vertAlign w:val="superscript"/>
        </w:rPr>
        <w:t>st</w:t>
      </w:r>
      <w:r w:rsidR="00C5050F" w:rsidRPr="006C059C">
        <w:rPr>
          <w:rFonts w:ascii="Century Gothic" w:hAnsi="Century Gothic"/>
        </w:rPr>
        <w:t xml:space="preserve"> Sub. does not require principals to take this literacy preparation assessment. Rather, they and other “LEA leaders” must take a course in “change management,” which the State Board shall provide. In addition, t</w:t>
      </w:r>
      <w:r w:rsidRPr="006C059C">
        <w:rPr>
          <w:rFonts w:ascii="Century Gothic" w:hAnsi="Century Gothic"/>
        </w:rPr>
        <w:t>h</w:t>
      </w:r>
      <w:r w:rsidR="00C5050F" w:rsidRPr="006C059C">
        <w:rPr>
          <w:rFonts w:ascii="Century Gothic" w:hAnsi="Century Gothic"/>
        </w:rPr>
        <w:t>e</w:t>
      </w:r>
      <w:r w:rsidRPr="006C059C">
        <w:rPr>
          <w:rFonts w:ascii="Century Gothic" w:hAnsi="Century Gothic"/>
        </w:rPr>
        <w:t xml:space="preserve"> </w:t>
      </w:r>
      <w:r w:rsidR="00C5050F" w:rsidRPr="006C059C">
        <w:rPr>
          <w:rFonts w:ascii="Century Gothic" w:hAnsi="Century Gothic"/>
        </w:rPr>
        <w:t xml:space="preserve">literacy preparation </w:t>
      </w:r>
      <w:r w:rsidRPr="006C059C">
        <w:rPr>
          <w:rFonts w:ascii="Century Gothic" w:hAnsi="Century Gothic"/>
        </w:rPr>
        <w:t>assessment does not presently exist, or at least the State Board has not chosen what that assessment may be.</w:t>
      </w:r>
    </w:p>
  </w:footnote>
  <w:footnote w:id="8">
    <w:p w14:paraId="3463D1A8" w14:textId="5D939A6D" w:rsidR="00226F42" w:rsidRPr="006C059C" w:rsidRDefault="00226F42">
      <w:pPr>
        <w:pStyle w:val="FootnoteText"/>
        <w:rPr>
          <w:rFonts w:ascii="Century Gothic" w:hAnsi="Century Gothic"/>
        </w:rPr>
      </w:pPr>
      <w:r w:rsidRPr="006C059C">
        <w:rPr>
          <w:rStyle w:val="FootnoteReference"/>
          <w:rFonts w:ascii="Century Gothic" w:hAnsi="Century Gothic"/>
        </w:rPr>
        <w:footnoteRef/>
      </w:r>
      <w:r w:rsidRPr="006C059C">
        <w:rPr>
          <w:rFonts w:ascii="Century Gothic" w:hAnsi="Century Gothic"/>
        </w:rPr>
        <w:t xml:space="preserve"> LETRS is the module that Mississippi used, whose early literacy program Sen. Millner is copying. In addition, the State Board has trained nearly 9,000 teachers in LETRS, so replacing it with a different course would upset the LEAs and teachers.</w:t>
      </w:r>
    </w:p>
  </w:footnote>
  <w:footnote w:id="9">
    <w:p w14:paraId="44EF350B" w14:textId="59BFB090" w:rsidR="00226F42" w:rsidRPr="006C059C" w:rsidRDefault="00226F42">
      <w:pPr>
        <w:pStyle w:val="FootnoteText"/>
        <w:rPr>
          <w:rFonts w:ascii="Century Gothic" w:hAnsi="Century Gothic"/>
        </w:rPr>
      </w:pPr>
      <w:r w:rsidRPr="006C059C">
        <w:rPr>
          <w:rStyle w:val="FootnoteReference"/>
          <w:rFonts w:ascii="Century Gothic" w:hAnsi="Century Gothic"/>
        </w:rPr>
        <w:footnoteRef/>
      </w:r>
      <w:r w:rsidRPr="006C059C">
        <w:rPr>
          <w:rFonts w:ascii="Century Gothic" w:hAnsi="Century Gothic"/>
        </w:rPr>
        <w:t xml:space="preserve"> The bill acknowledges that these coaches are SBE, not LEA employees. </w:t>
      </w:r>
      <w:r w:rsidR="00C5050F" w:rsidRPr="006C059C">
        <w:rPr>
          <w:rFonts w:ascii="Century Gothic" w:hAnsi="Century Gothic"/>
        </w:rPr>
        <w:t>Whereas the original bill directed the State Board to determine lines of authority in this relationship, the 1</w:t>
      </w:r>
      <w:r w:rsidR="00C5050F" w:rsidRPr="006C059C">
        <w:rPr>
          <w:rFonts w:ascii="Century Gothic" w:hAnsi="Century Gothic"/>
          <w:vertAlign w:val="superscript"/>
        </w:rPr>
        <w:t>st</w:t>
      </w:r>
      <w:r w:rsidR="00C5050F" w:rsidRPr="006C059C">
        <w:rPr>
          <w:rFonts w:ascii="Century Gothic" w:hAnsi="Century Gothic"/>
        </w:rPr>
        <w:t xml:space="preserve"> Sub. describes the roles that these coaches may play, and attempts to make LEA leadership and the SBE partners in selecting which coach will go to which school. The State Board creates a pool of qualified coaches, and then each LEA works with the State Board to select a coach for a given school.</w:t>
      </w:r>
    </w:p>
  </w:footnote>
  <w:footnote w:id="10">
    <w:p w14:paraId="29EAEEA4" w14:textId="79A7EA24" w:rsidR="00226F42" w:rsidRPr="006C059C" w:rsidRDefault="00226F42">
      <w:pPr>
        <w:pStyle w:val="FootnoteText"/>
        <w:rPr>
          <w:rFonts w:ascii="Century Gothic" w:hAnsi="Century Gothic"/>
        </w:rPr>
      </w:pPr>
      <w:r w:rsidRPr="006C059C">
        <w:rPr>
          <w:rStyle w:val="FootnoteReference"/>
          <w:rFonts w:ascii="Century Gothic" w:hAnsi="Century Gothic"/>
        </w:rPr>
        <w:footnoteRef/>
      </w:r>
      <w:r w:rsidRPr="006C059C">
        <w:rPr>
          <w:rFonts w:ascii="Century Gothic" w:hAnsi="Century Gothic"/>
        </w:rPr>
        <w:t xml:space="preserve"> Schools participating in this grant program must also now focus on grade 3 mathematics, in addition to the other subject areas already in statute.</w:t>
      </w:r>
    </w:p>
  </w:footnote>
  <w:footnote w:id="11">
    <w:p w14:paraId="333D1672" w14:textId="69D8C9AA" w:rsidR="00226F42" w:rsidRPr="006C059C" w:rsidRDefault="00226F42">
      <w:pPr>
        <w:pStyle w:val="FootnoteText"/>
        <w:rPr>
          <w:rFonts w:ascii="Century Gothic" w:hAnsi="Century Gothic"/>
        </w:rPr>
      </w:pPr>
      <w:r w:rsidRPr="006C059C">
        <w:rPr>
          <w:rStyle w:val="FootnoteReference"/>
          <w:rFonts w:ascii="Century Gothic" w:hAnsi="Century Gothic"/>
        </w:rPr>
        <w:footnoteRef/>
      </w:r>
      <w:r w:rsidRPr="006C059C">
        <w:rPr>
          <w:rFonts w:ascii="Century Gothic" w:hAnsi="Century Gothic"/>
        </w:rPr>
        <w:t xml:space="preserve"> It is not clear who these coordinators would be, what they would do, whether there is an organization Sen. Millner or others already have in mind.</w:t>
      </w:r>
    </w:p>
  </w:footnote>
  <w:footnote w:id="12">
    <w:p w14:paraId="3B82E794" w14:textId="3F7D7F03" w:rsidR="00226F42" w:rsidRPr="006C059C" w:rsidRDefault="00226F42">
      <w:pPr>
        <w:pStyle w:val="FootnoteText"/>
        <w:rPr>
          <w:rFonts w:ascii="Century Gothic" w:hAnsi="Century Gothic"/>
        </w:rPr>
      </w:pPr>
      <w:r w:rsidRPr="006C059C">
        <w:rPr>
          <w:rStyle w:val="FootnoteReference"/>
          <w:rFonts w:ascii="Century Gothic" w:hAnsi="Century Gothic"/>
        </w:rPr>
        <w:footnoteRef/>
      </w:r>
      <w:r w:rsidRPr="006C059C">
        <w:rPr>
          <w:rFonts w:ascii="Century Gothic" w:hAnsi="Century Gothic"/>
        </w:rPr>
        <w:t xml:space="preserve"> License applicants may take the literacy preparation assessment up to 3 times. The applicant is responsible for the cost of taking the assessment after the first time. Educator preparation programs, including Appel programs, will have an obligation to provide ongoing support for license applicants whom they prepared, but did not pass the assessment on the first or second try.</w:t>
      </w:r>
    </w:p>
  </w:footnote>
  <w:footnote w:id="13">
    <w:p w14:paraId="010E9184" w14:textId="42714E45" w:rsidR="00226F42" w:rsidRDefault="00226F42">
      <w:pPr>
        <w:pStyle w:val="FootnoteText"/>
      </w:pPr>
      <w:r w:rsidRPr="006C059C">
        <w:rPr>
          <w:rStyle w:val="FootnoteReference"/>
          <w:rFonts w:ascii="Century Gothic" w:hAnsi="Century Gothic"/>
        </w:rPr>
        <w:footnoteRef/>
      </w:r>
      <w:r w:rsidRPr="006C059C">
        <w:rPr>
          <w:rFonts w:ascii="Century Gothic" w:hAnsi="Century Gothic"/>
        </w:rPr>
        <w:t xml:space="preserve"> </w:t>
      </w:r>
      <w:r w:rsidR="008C036F" w:rsidRPr="006C059C">
        <w:rPr>
          <w:rFonts w:ascii="Century Gothic" w:hAnsi="Century Gothic"/>
        </w:rPr>
        <w:t>W</w:t>
      </w:r>
      <w:r w:rsidRPr="006C059C">
        <w:rPr>
          <w:rFonts w:ascii="Century Gothic" w:hAnsi="Century Gothic"/>
        </w:rPr>
        <w:t xml:space="preserve">hether some or all LEAs </w:t>
      </w:r>
      <w:r w:rsidR="008C036F" w:rsidRPr="006C059C">
        <w:rPr>
          <w:rFonts w:ascii="Century Gothic" w:hAnsi="Century Gothic"/>
        </w:rPr>
        <w:t xml:space="preserve">will </w:t>
      </w:r>
      <w:r w:rsidRPr="006C059C">
        <w:rPr>
          <w:rFonts w:ascii="Century Gothic" w:hAnsi="Century Gothic"/>
        </w:rPr>
        <w:t>to have to come out of pocket to provide this training</w:t>
      </w:r>
      <w:r w:rsidR="008C036F" w:rsidRPr="006C059C">
        <w:rPr>
          <w:rFonts w:ascii="Century Gothic" w:hAnsi="Century Gothic"/>
        </w:rPr>
        <w:t xml:space="preserve"> will depend in large measure on how much the Legislature appropriates.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F5F66"/>
    <w:multiLevelType w:val="hybridMultilevel"/>
    <w:tmpl w:val="1F6CF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9E"/>
    <w:rsid w:val="00054E30"/>
    <w:rsid w:val="0012602C"/>
    <w:rsid w:val="00226F42"/>
    <w:rsid w:val="002507F1"/>
    <w:rsid w:val="005E5084"/>
    <w:rsid w:val="006C059C"/>
    <w:rsid w:val="007F2487"/>
    <w:rsid w:val="00821A9E"/>
    <w:rsid w:val="008A1C78"/>
    <w:rsid w:val="008C036F"/>
    <w:rsid w:val="008F216E"/>
    <w:rsid w:val="0091003D"/>
    <w:rsid w:val="00C5050F"/>
    <w:rsid w:val="00C60DB2"/>
    <w:rsid w:val="00C637BF"/>
    <w:rsid w:val="00DD4544"/>
    <w:rsid w:val="00F90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4C67"/>
  <w14:defaultImageDpi w14:val="32767"/>
  <w15:chartTrackingRefBased/>
  <w15:docId w15:val="{CE01315F-278C-0D49-AC40-4630A796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A9E"/>
    <w:pPr>
      <w:ind w:left="720"/>
      <w:contextualSpacing/>
    </w:pPr>
  </w:style>
  <w:style w:type="paragraph" w:styleId="FootnoteText">
    <w:name w:val="footnote text"/>
    <w:basedOn w:val="Normal"/>
    <w:link w:val="FootnoteTextChar"/>
    <w:uiPriority w:val="99"/>
    <w:semiHidden/>
    <w:unhideWhenUsed/>
    <w:rsid w:val="00226F42"/>
    <w:rPr>
      <w:sz w:val="20"/>
      <w:szCs w:val="20"/>
    </w:rPr>
  </w:style>
  <w:style w:type="character" w:customStyle="1" w:styleId="FootnoteTextChar">
    <w:name w:val="Footnote Text Char"/>
    <w:basedOn w:val="DefaultParagraphFont"/>
    <w:link w:val="FootnoteText"/>
    <w:uiPriority w:val="99"/>
    <w:semiHidden/>
    <w:rsid w:val="00226F42"/>
    <w:rPr>
      <w:sz w:val="20"/>
      <w:szCs w:val="20"/>
    </w:rPr>
  </w:style>
  <w:style w:type="character" w:styleId="FootnoteReference">
    <w:name w:val="footnote reference"/>
    <w:basedOn w:val="DefaultParagraphFont"/>
    <w:uiPriority w:val="99"/>
    <w:semiHidden/>
    <w:unhideWhenUsed/>
    <w:rsid w:val="00226F42"/>
    <w:rPr>
      <w:vertAlign w:val="superscript"/>
    </w:rPr>
  </w:style>
  <w:style w:type="character" w:styleId="CommentReference">
    <w:name w:val="annotation reference"/>
    <w:basedOn w:val="DefaultParagraphFont"/>
    <w:uiPriority w:val="99"/>
    <w:semiHidden/>
    <w:unhideWhenUsed/>
    <w:rsid w:val="00226F42"/>
    <w:rPr>
      <w:sz w:val="16"/>
      <w:szCs w:val="16"/>
    </w:rPr>
  </w:style>
  <w:style w:type="paragraph" w:styleId="CommentText">
    <w:name w:val="annotation text"/>
    <w:basedOn w:val="Normal"/>
    <w:link w:val="CommentTextChar"/>
    <w:uiPriority w:val="99"/>
    <w:semiHidden/>
    <w:unhideWhenUsed/>
    <w:rsid w:val="00226F42"/>
    <w:rPr>
      <w:sz w:val="20"/>
      <w:szCs w:val="20"/>
    </w:rPr>
  </w:style>
  <w:style w:type="character" w:customStyle="1" w:styleId="CommentTextChar">
    <w:name w:val="Comment Text Char"/>
    <w:basedOn w:val="DefaultParagraphFont"/>
    <w:link w:val="CommentText"/>
    <w:uiPriority w:val="99"/>
    <w:semiHidden/>
    <w:rsid w:val="00226F42"/>
    <w:rPr>
      <w:sz w:val="20"/>
      <w:szCs w:val="20"/>
    </w:rPr>
  </w:style>
  <w:style w:type="paragraph" w:styleId="CommentSubject">
    <w:name w:val="annotation subject"/>
    <w:basedOn w:val="CommentText"/>
    <w:next w:val="CommentText"/>
    <w:link w:val="CommentSubjectChar"/>
    <w:uiPriority w:val="99"/>
    <w:semiHidden/>
    <w:unhideWhenUsed/>
    <w:rsid w:val="00226F42"/>
    <w:rPr>
      <w:b/>
      <w:bCs/>
    </w:rPr>
  </w:style>
  <w:style w:type="character" w:customStyle="1" w:styleId="CommentSubjectChar">
    <w:name w:val="Comment Subject Char"/>
    <w:basedOn w:val="CommentTextChar"/>
    <w:link w:val="CommentSubject"/>
    <w:uiPriority w:val="99"/>
    <w:semiHidden/>
    <w:rsid w:val="00226F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Royce Van Tassell</dc:creator>
  <cp:keywords/>
  <dc:description/>
  <cp:lastModifiedBy>Microsoft Office User</cp:lastModifiedBy>
  <cp:revision>2</cp:revision>
  <cp:lastPrinted>2022-01-26T22:56:00Z</cp:lastPrinted>
  <dcterms:created xsi:type="dcterms:W3CDTF">2022-02-01T22:13:00Z</dcterms:created>
  <dcterms:modified xsi:type="dcterms:W3CDTF">2022-02-01T22:13:00Z</dcterms:modified>
</cp:coreProperties>
</file>